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1914C3" w14:textId="77777777" w:rsidR="00C92A17" w:rsidRPr="006A44DA" w:rsidRDefault="00C92A17" w:rsidP="00C92A17">
      <w:pPr>
        <w:jc w:val="both"/>
        <w:rPr>
          <w:b/>
          <w:bCs/>
          <w:sz w:val="28"/>
          <w:szCs w:val="28"/>
        </w:rPr>
      </w:pPr>
      <w:r w:rsidRPr="006A44DA">
        <w:rPr>
          <w:b/>
          <w:bCs/>
          <w:sz w:val="28"/>
          <w:szCs w:val="28"/>
        </w:rPr>
        <w:t xml:space="preserve">Türkiye: Proceedings against Istanbul Bar Association board a “direct assault” on independence of legal profession </w:t>
      </w:r>
    </w:p>
    <w:p w14:paraId="093E4227" w14:textId="451DBF5A" w:rsidR="00C92A17" w:rsidRPr="006A44DA" w:rsidRDefault="00C92A17" w:rsidP="006A44DA">
      <w:pPr>
        <w:jc w:val="both"/>
        <w:rPr>
          <w:b/>
          <w:bCs/>
          <w:i/>
          <w:iCs/>
        </w:rPr>
      </w:pPr>
      <w:r w:rsidRPr="006A44DA">
        <w:rPr>
          <w:b/>
          <w:bCs/>
          <w:i/>
          <w:iCs/>
        </w:rPr>
        <w:t>Twelve legal and human rights organisations intervene in proceedings against the executive board ahead of trial</w:t>
      </w:r>
      <w:r w:rsidR="00A5313E">
        <w:rPr>
          <w:b/>
          <w:bCs/>
          <w:i/>
          <w:iCs/>
        </w:rPr>
        <w:t>*</w:t>
      </w:r>
    </w:p>
    <w:p w14:paraId="49D12B27" w14:textId="77777777" w:rsidR="001E4129" w:rsidRPr="006A44DA" w:rsidRDefault="001E4129" w:rsidP="001E4129">
      <w:pPr>
        <w:jc w:val="both"/>
      </w:pPr>
      <w:r w:rsidRPr="006A44DA">
        <w:t xml:space="preserve">Criminal and civil proceedings against the executive board of the Istanbul Bar Association are incompatible with Türkiye’s international human rights obligations and represent a direct assault on the independence of the legal profession, warned twelve legal and human rights organisations in a joint intervention to the court. </w:t>
      </w:r>
    </w:p>
    <w:p w14:paraId="78714C5C" w14:textId="4CB9905A" w:rsidR="001E4129" w:rsidRDefault="001E4129" w:rsidP="001E4129">
      <w:pPr>
        <w:jc w:val="both"/>
      </w:pPr>
      <w:r w:rsidRPr="006A44DA">
        <w:t xml:space="preserve">The joint </w:t>
      </w:r>
      <w:r w:rsidRPr="006A44DA">
        <w:rPr>
          <w:i/>
          <w:iCs/>
        </w:rPr>
        <w:t>amicus</w:t>
      </w:r>
      <w:r w:rsidRPr="006A44DA">
        <w:t xml:space="preserve"> brief by leading human rights groups and professional legal bodies including </w:t>
      </w:r>
      <w:r w:rsidR="00046A5C" w:rsidRPr="00046A5C">
        <w:rPr>
          <w:b/>
          <w:bCs/>
        </w:rPr>
        <w:t>PEN Norway</w:t>
      </w:r>
      <w:r w:rsidRPr="006A44DA">
        <w:t>, will be submitted to the Istanbul 26th Heavy Penal Court tomorrow as the second hearing, scheduled to last two days, begins tomorrow.</w:t>
      </w:r>
    </w:p>
    <w:p w14:paraId="7EC3C903" w14:textId="699DBCCC" w:rsidR="00DC3756" w:rsidRPr="00DC3756" w:rsidRDefault="00DC3756" w:rsidP="001E4129">
      <w:pPr>
        <w:jc w:val="both"/>
        <w:rPr>
          <w:lang w:val="tr-TR"/>
        </w:rPr>
      </w:pPr>
      <w:r>
        <w:t xml:space="preserve">The legal action targets the Istanbul Bar Association’s President, Prof. </w:t>
      </w:r>
      <w:r>
        <w:rPr>
          <w:lang w:val="tr-TR"/>
        </w:rPr>
        <w:t>İbrahim Kaboğlu, and ten executive board members, and stems from a public statement issued by the Bar on 21 December 2024, following the killing of two Kurdish journalists, Nazım Daştan and Cihan Bilgin, allegedly in a drone strike in northern Syria.</w:t>
      </w:r>
    </w:p>
    <w:p w14:paraId="2314BAF6" w14:textId="46806AE3" w:rsidR="002D79B3" w:rsidRPr="00B56AE0" w:rsidRDefault="002D79B3" w:rsidP="002D79B3">
      <w:pPr>
        <w:jc w:val="both"/>
      </w:pPr>
      <w:r w:rsidRPr="00B56AE0">
        <w:t xml:space="preserve">In its statement, the Bar </w:t>
      </w:r>
      <w:r w:rsidR="00584B65" w:rsidRPr="00B56AE0">
        <w:t>Association</w:t>
      </w:r>
      <w:r w:rsidR="00C17755" w:rsidRPr="00B56AE0">
        <w:t xml:space="preserve"> had </w:t>
      </w:r>
      <w:r w:rsidRPr="00B56AE0">
        <w:t xml:space="preserve">recalled international legal protections </w:t>
      </w:r>
      <w:r w:rsidR="00584B65" w:rsidRPr="00B56AE0">
        <w:t xml:space="preserve">that must be afforded </w:t>
      </w:r>
      <w:r w:rsidRPr="00B56AE0">
        <w:t>for journalists in conflict zones, called for an effective investigation into the deaths, and demanded the release of protestors and lawyers detained at a demonstration held in Istanbul that same day. In response,</w:t>
      </w:r>
      <w:r w:rsidR="00176E4D">
        <w:t xml:space="preserve"> prosecutors</w:t>
      </w:r>
      <w:r w:rsidRPr="00B56AE0">
        <w:t xml:space="preserve"> </w:t>
      </w:r>
      <w:r w:rsidR="004E538A">
        <w:t xml:space="preserve">in Türkiye </w:t>
      </w:r>
      <w:r w:rsidRPr="00B56AE0">
        <w:t xml:space="preserve">launched criminal proceedings against the Bar’s leadership for “propaganda for a terrorist organisation” and “disseminating misleading information,” and simultaneously filed a civil lawsuit seeking to dismiss the board on the grounds that it had acted beyond its legal duties. On 21 March 2025, the Istanbul 2nd Civil Court of First Instance </w:t>
      </w:r>
      <w:r w:rsidR="00C17755" w:rsidRPr="00B56AE0">
        <w:t xml:space="preserve">ordered the </w:t>
      </w:r>
      <w:r w:rsidRPr="00B56AE0">
        <w:t>terminat</w:t>
      </w:r>
      <w:r w:rsidR="00C17755" w:rsidRPr="00B56AE0">
        <w:t>ion of</w:t>
      </w:r>
      <w:r w:rsidRPr="00B56AE0">
        <w:t xml:space="preserve"> the entire board’s mandate</w:t>
      </w:r>
      <w:r w:rsidR="00D32469" w:rsidRPr="00B56AE0">
        <w:t xml:space="preserve">, </w:t>
      </w:r>
      <w:r w:rsidRPr="00B56AE0">
        <w:t>a decision that is currently under appeal.</w:t>
      </w:r>
    </w:p>
    <w:p w14:paraId="2A2A2235" w14:textId="184B6FEE" w:rsidR="003C734C" w:rsidRPr="00B56AE0" w:rsidRDefault="002D79B3" w:rsidP="002D79B3">
      <w:pPr>
        <w:jc w:val="both"/>
      </w:pPr>
      <w:r w:rsidRPr="00FE4DD8">
        <w:t>The</w:t>
      </w:r>
      <w:r w:rsidRPr="00B56AE0">
        <w:t xml:space="preserve"> twelve organisations argue in their joint submission that these proceedings violate Türkiye’s obligations under international and regional human rights law. The I</w:t>
      </w:r>
      <w:r w:rsidR="005D0DFB" w:rsidRPr="00B56AE0">
        <w:t>stanbul Bar Association</w:t>
      </w:r>
      <w:r w:rsidRPr="00B56AE0">
        <w:t xml:space="preserve">’s statement, they note, falls squarely within its professional mandate and legal duty to defend human rights and the rule of law. </w:t>
      </w:r>
    </w:p>
    <w:p w14:paraId="6D5535CC" w14:textId="7C10C388" w:rsidR="002D79B3" w:rsidRPr="00B56AE0" w:rsidRDefault="002D79B3" w:rsidP="002D79B3">
      <w:pPr>
        <w:jc w:val="both"/>
      </w:pPr>
      <w:r w:rsidRPr="00B56AE0">
        <w:t xml:space="preserve">“The criminal and civil proceedings against the Istanbul Bar Association’s executive board amount to retaliation for engaging in lawful, rights-based advocacy,” said </w:t>
      </w:r>
      <w:r w:rsidR="003C7F48" w:rsidRPr="00B56AE0">
        <w:t>Ay</w:t>
      </w:r>
      <w:r w:rsidR="00AB0D6E" w:rsidRPr="00B56AE0">
        <w:t>şe Bingöl Demir, Director</w:t>
      </w:r>
      <w:r w:rsidRPr="00B56AE0">
        <w:t xml:space="preserve"> of the Turkey Human Rights Litigation Support Project. “They are part of a broader effort to intimidate the legal profession and silence institutions that challenge state power.”</w:t>
      </w:r>
    </w:p>
    <w:p w14:paraId="78FDC96B" w14:textId="3273AB59" w:rsidR="002D79B3" w:rsidRPr="00B56AE0" w:rsidRDefault="002D79B3" w:rsidP="002D79B3">
      <w:pPr>
        <w:jc w:val="both"/>
      </w:pPr>
      <w:r w:rsidRPr="00B56AE0">
        <w:t xml:space="preserve">The </w:t>
      </w:r>
      <w:r w:rsidR="004B1F15" w:rsidRPr="00B56AE0">
        <w:t>organisations</w:t>
      </w:r>
      <w:r w:rsidRPr="00B56AE0">
        <w:t xml:space="preserve"> emphasise that bar associations must be free to speak out on legal and human rights concerns without fear of </w:t>
      </w:r>
      <w:r w:rsidR="008561E4" w:rsidRPr="00B56AE0">
        <w:t xml:space="preserve">intimidation or </w:t>
      </w:r>
      <w:r w:rsidRPr="00B56AE0">
        <w:t xml:space="preserve">punishment. As </w:t>
      </w:r>
      <w:proofErr w:type="spellStart"/>
      <w:r w:rsidR="00AE2D9B">
        <w:t>Tierry</w:t>
      </w:r>
      <w:proofErr w:type="spellEnd"/>
      <w:r w:rsidR="00AE2D9B">
        <w:t xml:space="preserve"> Wickers,</w:t>
      </w:r>
      <w:r w:rsidR="00AE2D9B" w:rsidRPr="00B56AE0">
        <w:t xml:space="preserve"> </w:t>
      </w:r>
      <w:r w:rsidR="00093CEC" w:rsidRPr="00B56AE0">
        <w:t xml:space="preserve"> </w:t>
      </w:r>
      <w:r w:rsidR="0016212A" w:rsidRPr="00B56AE0">
        <w:t>President of the Council of Bars and Law Societies of Europe (CCBE)</w:t>
      </w:r>
      <w:r w:rsidR="00D73025">
        <w:t xml:space="preserve"> </w:t>
      </w:r>
      <w:r w:rsidR="000F2154" w:rsidRPr="00B56AE0">
        <w:t>stated</w:t>
      </w:r>
      <w:r w:rsidRPr="00B56AE0">
        <w:t>, “These actions are not just an attack on the Istanbul Bar Association</w:t>
      </w:r>
      <w:r w:rsidR="008561E4" w:rsidRPr="00B56AE0">
        <w:t xml:space="preserve">, </w:t>
      </w:r>
      <w:r w:rsidRPr="00B56AE0">
        <w:t xml:space="preserve">they are an attack on the </w:t>
      </w:r>
      <w:r w:rsidRPr="00B56AE0">
        <w:lastRenderedPageBreak/>
        <w:t>very idea of an independent legal profession</w:t>
      </w:r>
      <w:r w:rsidR="004B1F15" w:rsidRPr="00B56AE0">
        <w:t>, one of the main pillars of</w:t>
      </w:r>
      <w:r w:rsidR="00730C62" w:rsidRPr="00B56AE0">
        <w:t xml:space="preserve"> a democratic society and </w:t>
      </w:r>
      <w:r w:rsidR="00AA2429" w:rsidRPr="00B56AE0">
        <w:t>a f</w:t>
      </w:r>
      <w:r w:rsidR="00432A91">
        <w:t>undamental</w:t>
      </w:r>
      <w:r w:rsidR="00AA2429" w:rsidRPr="00B56AE0">
        <w:t xml:space="preserve"> guarantee for ensuring the rule of law and preventing abuse of state power</w:t>
      </w:r>
      <w:r w:rsidRPr="00B56AE0">
        <w:t>.”</w:t>
      </w:r>
    </w:p>
    <w:p w14:paraId="3B2506E2" w14:textId="6B4744A5" w:rsidR="002D79B3" w:rsidRPr="00B56AE0" w:rsidRDefault="002D79B3" w:rsidP="002D79B3">
      <w:pPr>
        <w:jc w:val="both"/>
      </w:pPr>
      <w:r w:rsidRPr="00B56AE0">
        <w:t xml:space="preserve">According to the amicus brief, the charges brought against the Bar’s leadership are both vague and legally baseless, relying on overbroad anti-terrorism and “disinformation” </w:t>
      </w:r>
      <w:r w:rsidR="00986110" w:rsidRPr="00B56AE0">
        <w:t xml:space="preserve">laws </w:t>
      </w:r>
      <w:r w:rsidRPr="00B56AE0">
        <w:t xml:space="preserve">that fail to meet international standards of legality, necessity and proportionality. No part of the Bar’s statement can reasonably be interpreted as </w:t>
      </w:r>
      <w:r w:rsidR="003562E9" w:rsidRPr="00B56AE0">
        <w:t>“</w:t>
      </w:r>
      <w:r w:rsidRPr="00B56AE0">
        <w:t>inciting violence</w:t>
      </w:r>
      <w:r w:rsidR="003562E9" w:rsidRPr="00B56AE0">
        <w:t>”</w:t>
      </w:r>
      <w:r w:rsidRPr="00B56AE0">
        <w:t xml:space="preserve"> or </w:t>
      </w:r>
      <w:r w:rsidR="003562E9" w:rsidRPr="00B56AE0">
        <w:t>“</w:t>
      </w:r>
      <w:r w:rsidRPr="00B56AE0">
        <w:t>promoting terrorism</w:t>
      </w:r>
      <w:r w:rsidR="003562E9" w:rsidRPr="00B56AE0">
        <w:t>”</w:t>
      </w:r>
      <w:r w:rsidRPr="00B56AE0">
        <w:t>. Instead, it reflects the Bar’s role as an institutional safeguard</w:t>
      </w:r>
      <w:r w:rsidR="009003EA" w:rsidRPr="00B56AE0">
        <w:t xml:space="preserve">, </w:t>
      </w:r>
      <w:r w:rsidRPr="00B56AE0">
        <w:t>defending its members and speaking out against unlawful detentions and alleged violations of international law.</w:t>
      </w:r>
    </w:p>
    <w:p w14:paraId="1685CD11" w14:textId="19BD0215" w:rsidR="002D79B3" w:rsidRPr="006A44DA" w:rsidRDefault="002D79B3" w:rsidP="002D79B3">
      <w:pPr>
        <w:jc w:val="both"/>
        <w:rPr>
          <w:lang w:val="fr-FR"/>
        </w:rPr>
      </w:pPr>
      <w:r w:rsidRPr="00B56AE0">
        <w:t xml:space="preserve">“The Istanbul Bar’s statement was well within its statutory duties and its internationally protected role,” said </w:t>
      </w:r>
      <w:proofErr w:type="spellStart"/>
      <w:r w:rsidR="008733D3" w:rsidRPr="008733D3">
        <w:rPr>
          <w:lang w:val="fr-FR"/>
        </w:rPr>
        <w:t>Baroness</w:t>
      </w:r>
      <w:proofErr w:type="spellEnd"/>
      <w:r w:rsidR="008733D3" w:rsidRPr="008733D3">
        <w:rPr>
          <w:lang w:val="fr-FR"/>
        </w:rPr>
        <w:t xml:space="preserve"> Helena </w:t>
      </w:r>
      <w:proofErr w:type="gramStart"/>
      <w:r w:rsidR="008733D3" w:rsidRPr="008733D3">
        <w:rPr>
          <w:lang w:val="fr-FR"/>
        </w:rPr>
        <w:t>Kennedy,</w:t>
      </w:r>
      <w:r w:rsidRPr="00B56AE0">
        <w:t>,</w:t>
      </w:r>
      <w:proofErr w:type="gramEnd"/>
      <w:r w:rsidRPr="00B56AE0">
        <w:t xml:space="preserve"> </w:t>
      </w:r>
      <w:r w:rsidR="008733D3">
        <w:t xml:space="preserve">Director of the International Bar Association’s </w:t>
      </w:r>
      <w:r w:rsidR="00953CD1">
        <w:t xml:space="preserve">Human Rights </w:t>
      </w:r>
      <w:r w:rsidR="00B63598">
        <w:t>Institute</w:t>
      </w:r>
      <w:r w:rsidRPr="00B56AE0">
        <w:t xml:space="preserve"> “To criminalise such a statement is both legally indefensible and</w:t>
      </w:r>
      <w:r w:rsidR="00176E4D">
        <w:t xml:space="preserve"> politically alarming</w:t>
      </w:r>
      <w:r w:rsidRPr="006A44DA">
        <w:rPr>
          <w:shd w:val="clear" w:color="auto" w:fill="FFFFFF" w:themeFill="background1"/>
        </w:rPr>
        <w:t>.”</w:t>
      </w:r>
    </w:p>
    <w:p w14:paraId="2618CB29" w14:textId="684223AB" w:rsidR="002D79B3" w:rsidRPr="00B56AE0" w:rsidRDefault="005D1979" w:rsidP="002D79B3">
      <w:pPr>
        <w:jc w:val="both"/>
      </w:pPr>
      <w:r>
        <w:t>We</w:t>
      </w:r>
      <w:r w:rsidR="002D79B3" w:rsidRPr="00B56AE0">
        <w:t xml:space="preserve"> stress that this case is not an isolated incident. It is emblematic of a wider pattern in Türkiye, where</w:t>
      </w:r>
      <w:r w:rsidR="007377B2" w:rsidRPr="00B56AE0">
        <w:t xml:space="preserve"> </w:t>
      </w:r>
      <w:r w:rsidR="002D79B3" w:rsidRPr="00B56AE0">
        <w:t xml:space="preserve">bar associations have faced mounting interference, lawyers are increasingly prosecuted for their work, and dissenting institutions are subjected to coordinated pressure. </w:t>
      </w:r>
      <w:r w:rsidR="00FC7673">
        <w:t>Mandi Mudarikwa</w:t>
      </w:r>
      <w:r w:rsidR="00F134BB">
        <w:t xml:space="preserve">, Head of Strategic </w:t>
      </w:r>
      <w:proofErr w:type="gramStart"/>
      <w:r w:rsidR="00F134BB">
        <w:t xml:space="preserve">Litigation </w:t>
      </w:r>
      <w:r w:rsidR="002D79B3" w:rsidRPr="00B56AE0">
        <w:t xml:space="preserve"> of</w:t>
      </w:r>
      <w:proofErr w:type="gramEnd"/>
      <w:r w:rsidR="002D79B3" w:rsidRPr="00B56AE0">
        <w:t xml:space="preserve"> </w:t>
      </w:r>
      <w:r w:rsidR="00F134BB">
        <w:t>Amnesty International</w:t>
      </w:r>
      <w:r w:rsidR="002D79B3" w:rsidRPr="00B56AE0">
        <w:t xml:space="preserve"> warned that, “What is happening in this case reflects a systemic pattern</w:t>
      </w:r>
      <w:r w:rsidR="00B10EF1">
        <w:t xml:space="preserve"> </w:t>
      </w:r>
      <w:r w:rsidR="00B10EF1">
        <w:rPr>
          <w:lang w:val="en-US"/>
        </w:rPr>
        <w:t>but also sets a dangerous precedent</w:t>
      </w:r>
      <w:r w:rsidR="002D79B3" w:rsidRPr="00B56AE0">
        <w:t>: criminal law is being misused to target lawyers</w:t>
      </w:r>
      <w:r w:rsidR="004904DF">
        <w:rPr>
          <w:lang w:val="en-US"/>
        </w:rPr>
        <w:t>, their professional body</w:t>
      </w:r>
      <w:r w:rsidR="002D79B3" w:rsidRPr="00B56AE0">
        <w:t xml:space="preserve"> a</w:t>
      </w:r>
      <w:r w:rsidR="001F692A" w:rsidRPr="00B56AE0">
        <w:t>nd</w:t>
      </w:r>
      <w:r w:rsidR="002D79B3" w:rsidRPr="00B56AE0">
        <w:t xml:space="preserve"> human rights defenders who simply do their job. This sets a dangerous precedent far beyond Türkiye’s borders.</w:t>
      </w:r>
      <w:r w:rsidR="009F3DD1" w:rsidRPr="002D79B3">
        <w:rPr>
          <w:lang w:val="en-US"/>
        </w:rPr>
        <w:t xml:space="preserve"> </w:t>
      </w:r>
      <w:r w:rsidR="009F3DD1">
        <w:rPr>
          <w:lang w:val="en-US"/>
        </w:rPr>
        <w:t>In the context of Türkiye’s overly broad anti-terrorism laws that are open to instrumentalization, prosecutions such as these send a chilling message to all in society: demanding that the authorities abide by their human rights obligations comes at a cost; freedom of expression can be arbitrarily curtailed. In the face of this, the only fair outcome is the acquittal of all the leaders of Istanbul Bar Association at tomorrow’s hearing.</w:t>
      </w:r>
      <w:r w:rsidR="002D79B3" w:rsidRPr="00B56AE0">
        <w:t>”</w:t>
      </w:r>
    </w:p>
    <w:p w14:paraId="219FA175" w14:textId="573C6D95" w:rsidR="00A5313E" w:rsidRDefault="007A4DA3" w:rsidP="002D79B3">
      <w:pPr>
        <w:jc w:val="both"/>
        <w:rPr>
          <w:b/>
          <w:bCs/>
        </w:rPr>
      </w:pPr>
      <w:proofErr w:type="gramStart"/>
      <w:r w:rsidRPr="00B56AE0">
        <w:t>In light of</w:t>
      </w:r>
      <w:proofErr w:type="gramEnd"/>
      <w:r w:rsidRPr="00B56AE0">
        <w:t xml:space="preserve"> these concerns, the </w:t>
      </w:r>
      <w:r w:rsidR="00B741B8" w:rsidRPr="00B56AE0">
        <w:t>international organisations</w:t>
      </w:r>
      <w:r w:rsidRPr="00B56AE0">
        <w:t xml:space="preserve"> </w:t>
      </w:r>
      <w:r w:rsidR="00504B90" w:rsidRPr="00504B90">
        <w:t xml:space="preserve">have requested the </w:t>
      </w:r>
      <w:r w:rsidR="00504B90">
        <w:t xml:space="preserve">Istanbul </w:t>
      </w:r>
      <w:r w:rsidR="00504B90" w:rsidRPr="00504B90">
        <w:t xml:space="preserve">court </w:t>
      </w:r>
      <w:r w:rsidRPr="00B56AE0">
        <w:t>to assess the</w:t>
      </w:r>
      <w:r w:rsidR="00324803" w:rsidRPr="00B56AE0">
        <w:t xml:space="preserve"> lawfulness and propriety of the</w:t>
      </w:r>
      <w:r w:rsidRPr="00B56AE0">
        <w:t xml:space="preserve"> ongoing criminal and civil proceedings in line with Türkiye’s binding obligations under international human rights law, including the standards on the independence of lawyers and bar associations and the rights to freedom of expression and association. As the amicus brief highlights, the charges and actions against the Istanbul Bar Association’s executive board </w:t>
      </w:r>
      <w:r w:rsidR="00324803" w:rsidRPr="00B56AE0">
        <w:t xml:space="preserve">contravene </w:t>
      </w:r>
      <w:r w:rsidRPr="00B56AE0">
        <w:t>these standards, appear to pursue an ulterior political purpose, and risk setting a dangerous precedent for legal professionals and institutions engaged in rights-based advocacy.</w:t>
      </w:r>
    </w:p>
    <w:p w14:paraId="5ED55819" w14:textId="77777777" w:rsidR="00A5313E" w:rsidRPr="00B56AE0" w:rsidRDefault="00A5313E" w:rsidP="002D79B3">
      <w:pPr>
        <w:jc w:val="both"/>
      </w:pPr>
    </w:p>
    <w:p w14:paraId="6270007A" w14:textId="77777777" w:rsidR="00D97BFE" w:rsidRPr="00B56AE0" w:rsidRDefault="00D97BFE" w:rsidP="002D79B3">
      <w:pPr>
        <w:jc w:val="both"/>
      </w:pPr>
    </w:p>
    <w:p w14:paraId="0F485E25" w14:textId="77777777" w:rsidR="00046A5C" w:rsidRDefault="002D79B3" w:rsidP="002D79B3">
      <w:pPr>
        <w:jc w:val="both"/>
      </w:pPr>
      <w:r w:rsidRPr="00B56AE0">
        <w:lastRenderedPageBreak/>
        <w:t xml:space="preserve">The organisations that submitted the </w:t>
      </w:r>
      <w:r w:rsidRPr="00B56AE0">
        <w:rPr>
          <w:i/>
          <w:iCs/>
        </w:rPr>
        <w:t>amicus curiae</w:t>
      </w:r>
      <w:r w:rsidRPr="00B56AE0">
        <w:t xml:space="preserve"> brief are: </w:t>
      </w:r>
    </w:p>
    <w:p w14:paraId="725FBCDF" w14:textId="77777777" w:rsidR="00046A5C" w:rsidRDefault="002D79B3" w:rsidP="002D79B3">
      <w:pPr>
        <w:jc w:val="both"/>
      </w:pPr>
      <w:r w:rsidRPr="00B56AE0">
        <w:t xml:space="preserve">Amnesty International, </w:t>
      </w:r>
    </w:p>
    <w:p w14:paraId="1A0D55DF" w14:textId="77777777" w:rsidR="00046A5C" w:rsidRDefault="002D79B3" w:rsidP="002D79B3">
      <w:pPr>
        <w:jc w:val="both"/>
      </w:pPr>
      <w:r w:rsidRPr="00B56AE0">
        <w:t xml:space="preserve">Council of Bars and Law Societies of Europe, </w:t>
      </w:r>
    </w:p>
    <w:p w14:paraId="0B4247F0" w14:textId="77777777" w:rsidR="00046A5C" w:rsidRDefault="002D79B3" w:rsidP="002D79B3">
      <w:pPr>
        <w:jc w:val="both"/>
      </w:pPr>
      <w:r w:rsidRPr="00B56AE0">
        <w:t xml:space="preserve">European Association of Lawyers for Democracy and World Human Rights, </w:t>
      </w:r>
    </w:p>
    <w:p w14:paraId="74C99DD0" w14:textId="77777777" w:rsidR="00046A5C" w:rsidRDefault="002D79B3" w:rsidP="002D79B3">
      <w:pPr>
        <w:jc w:val="both"/>
      </w:pPr>
      <w:r w:rsidRPr="00B56AE0">
        <w:t xml:space="preserve">German Federal Bar, Human Rights Watch, </w:t>
      </w:r>
    </w:p>
    <w:p w14:paraId="35EFBEFC" w14:textId="77777777" w:rsidR="00046A5C" w:rsidRDefault="002D79B3" w:rsidP="002D79B3">
      <w:pPr>
        <w:jc w:val="both"/>
      </w:pPr>
      <w:r w:rsidRPr="00B56AE0">
        <w:t xml:space="preserve">International Bar Association’s Human Rights Institute, </w:t>
      </w:r>
    </w:p>
    <w:p w14:paraId="1826F778" w14:textId="77777777" w:rsidR="00046A5C" w:rsidRDefault="002D79B3" w:rsidP="002D79B3">
      <w:pPr>
        <w:jc w:val="both"/>
      </w:pPr>
      <w:r w:rsidRPr="00B56AE0">
        <w:t xml:space="preserve">International Commission of Jurists, </w:t>
      </w:r>
    </w:p>
    <w:p w14:paraId="0AA89D9B" w14:textId="77777777" w:rsidR="00046A5C" w:rsidRDefault="002D79B3" w:rsidP="002D79B3">
      <w:pPr>
        <w:jc w:val="both"/>
      </w:pPr>
      <w:r w:rsidRPr="00B56AE0">
        <w:t xml:space="preserve">International Observatory for Lawyers in Danger, </w:t>
      </w:r>
    </w:p>
    <w:p w14:paraId="4B2DBD9F" w14:textId="77777777" w:rsidR="00046A5C" w:rsidRDefault="002D79B3" w:rsidP="002D79B3">
      <w:pPr>
        <w:jc w:val="both"/>
      </w:pPr>
      <w:r w:rsidRPr="00B56AE0">
        <w:t xml:space="preserve">Law Society of England and Wales, </w:t>
      </w:r>
    </w:p>
    <w:p w14:paraId="367D874C" w14:textId="053B4A6E" w:rsidR="00046A5C" w:rsidRDefault="002D79B3" w:rsidP="002D79B3">
      <w:pPr>
        <w:jc w:val="both"/>
      </w:pPr>
      <w:r w:rsidRPr="00B56AE0">
        <w:t xml:space="preserve">Lawyers for Lawyers </w:t>
      </w:r>
    </w:p>
    <w:p w14:paraId="6D19FDFC" w14:textId="28B2F024" w:rsidR="002D79B3" w:rsidRDefault="002D79B3" w:rsidP="002D79B3">
      <w:pPr>
        <w:jc w:val="both"/>
      </w:pPr>
      <w:r w:rsidRPr="00B56AE0">
        <w:t>PEN Norway</w:t>
      </w:r>
    </w:p>
    <w:p w14:paraId="4F41C1C1" w14:textId="140DD142" w:rsidR="00046A5C" w:rsidRPr="00B56AE0" w:rsidRDefault="00046A5C" w:rsidP="002D79B3">
      <w:pPr>
        <w:jc w:val="both"/>
      </w:pPr>
      <w:r w:rsidRPr="00B56AE0">
        <w:t>Turkey Human Rights Litigation Support Project</w:t>
      </w:r>
    </w:p>
    <w:p w14:paraId="6B8F4594" w14:textId="6B90A431" w:rsidR="00B655FB" w:rsidRPr="00B56AE0" w:rsidRDefault="00A80743" w:rsidP="001F1D2F">
      <w:pPr>
        <w:jc w:val="both"/>
      </w:pPr>
      <w:r w:rsidRPr="00046A5C">
        <w:rPr>
          <w:b/>
          <w:bCs/>
        </w:rPr>
        <w:t>For more information contac</w:t>
      </w:r>
      <w:r w:rsidR="00046A5C" w:rsidRPr="00046A5C">
        <w:rPr>
          <w:b/>
          <w:bCs/>
        </w:rPr>
        <w:t xml:space="preserve">t: </w:t>
      </w:r>
      <w:r w:rsidR="00046A5C">
        <w:t>Şerife Ceren Uysal, PEN Norway Turkey Legal Advisor, ceren@norskpen.no</w:t>
      </w:r>
    </w:p>
    <w:sectPr w:rsidR="00B655FB" w:rsidRPr="00B56AE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2979DF"/>
    <w:multiLevelType w:val="hybridMultilevel"/>
    <w:tmpl w:val="57025824"/>
    <w:lvl w:ilvl="0" w:tplc="AEB2721E">
      <w:start w:val="1"/>
      <w:numFmt w:val="bullet"/>
      <w:lvlText w:val=""/>
      <w:lvlJc w:val="left"/>
      <w:pPr>
        <w:ind w:left="1440" w:hanging="360"/>
      </w:pPr>
      <w:rPr>
        <w:rFonts w:ascii="Symbol" w:hAnsi="Symbol"/>
      </w:rPr>
    </w:lvl>
    <w:lvl w:ilvl="1" w:tplc="809A139A">
      <w:start w:val="1"/>
      <w:numFmt w:val="bullet"/>
      <w:lvlText w:val=""/>
      <w:lvlJc w:val="left"/>
      <w:pPr>
        <w:ind w:left="1440" w:hanging="360"/>
      </w:pPr>
      <w:rPr>
        <w:rFonts w:ascii="Symbol" w:hAnsi="Symbol"/>
      </w:rPr>
    </w:lvl>
    <w:lvl w:ilvl="2" w:tplc="55621738">
      <w:start w:val="1"/>
      <w:numFmt w:val="bullet"/>
      <w:lvlText w:val=""/>
      <w:lvlJc w:val="left"/>
      <w:pPr>
        <w:ind w:left="1440" w:hanging="360"/>
      </w:pPr>
      <w:rPr>
        <w:rFonts w:ascii="Symbol" w:hAnsi="Symbol"/>
      </w:rPr>
    </w:lvl>
    <w:lvl w:ilvl="3" w:tplc="0E2E400E">
      <w:start w:val="1"/>
      <w:numFmt w:val="bullet"/>
      <w:lvlText w:val=""/>
      <w:lvlJc w:val="left"/>
      <w:pPr>
        <w:ind w:left="1440" w:hanging="360"/>
      </w:pPr>
      <w:rPr>
        <w:rFonts w:ascii="Symbol" w:hAnsi="Symbol"/>
      </w:rPr>
    </w:lvl>
    <w:lvl w:ilvl="4" w:tplc="C0922A62">
      <w:start w:val="1"/>
      <w:numFmt w:val="bullet"/>
      <w:lvlText w:val=""/>
      <w:lvlJc w:val="left"/>
      <w:pPr>
        <w:ind w:left="1440" w:hanging="360"/>
      </w:pPr>
      <w:rPr>
        <w:rFonts w:ascii="Symbol" w:hAnsi="Symbol"/>
      </w:rPr>
    </w:lvl>
    <w:lvl w:ilvl="5" w:tplc="42784138">
      <w:start w:val="1"/>
      <w:numFmt w:val="bullet"/>
      <w:lvlText w:val=""/>
      <w:lvlJc w:val="left"/>
      <w:pPr>
        <w:ind w:left="1440" w:hanging="360"/>
      </w:pPr>
      <w:rPr>
        <w:rFonts w:ascii="Symbol" w:hAnsi="Symbol"/>
      </w:rPr>
    </w:lvl>
    <w:lvl w:ilvl="6" w:tplc="96DAA076">
      <w:start w:val="1"/>
      <w:numFmt w:val="bullet"/>
      <w:lvlText w:val=""/>
      <w:lvlJc w:val="left"/>
      <w:pPr>
        <w:ind w:left="1440" w:hanging="360"/>
      </w:pPr>
      <w:rPr>
        <w:rFonts w:ascii="Symbol" w:hAnsi="Symbol"/>
      </w:rPr>
    </w:lvl>
    <w:lvl w:ilvl="7" w:tplc="71AE9A9E">
      <w:start w:val="1"/>
      <w:numFmt w:val="bullet"/>
      <w:lvlText w:val=""/>
      <w:lvlJc w:val="left"/>
      <w:pPr>
        <w:ind w:left="1440" w:hanging="360"/>
      </w:pPr>
      <w:rPr>
        <w:rFonts w:ascii="Symbol" w:hAnsi="Symbol"/>
      </w:rPr>
    </w:lvl>
    <w:lvl w:ilvl="8" w:tplc="0D3AEB84">
      <w:start w:val="1"/>
      <w:numFmt w:val="bullet"/>
      <w:lvlText w:val=""/>
      <w:lvlJc w:val="left"/>
      <w:pPr>
        <w:ind w:left="1440" w:hanging="360"/>
      </w:pPr>
      <w:rPr>
        <w:rFonts w:ascii="Symbol" w:hAnsi="Symbol"/>
      </w:rPr>
    </w:lvl>
  </w:abstractNum>
  <w:abstractNum w:abstractNumId="1" w15:restartNumberingAfterBreak="0">
    <w:nsid w:val="38E14C4A"/>
    <w:multiLevelType w:val="multilevel"/>
    <w:tmpl w:val="FA600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35902206">
    <w:abstractNumId w:val="0"/>
  </w:num>
  <w:num w:numId="2" w16cid:durableId="14887891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5BD"/>
    <w:rsid w:val="00001FBC"/>
    <w:rsid w:val="000058DC"/>
    <w:rsid w:val="000225BD"/>
    <w:rsid w:val="00033D14"/>
    <w:rsid w:val="00046A5C"/>
    <w:rsid w:val="00050E13"/>
    <w:rsid w:val="00053ED5"/>
    <w:rsid w:val="00057211"/>
    <w:rsid w:val="000666FE"/>
    <w:rsid w:val="00082B79"/>
    <w:rsid w:val="00093CEC"/>
    <w:rsid w:val="00096708"/>
    <w:rsid w:val="000C341E"/>
    <w:rsid w:val="000D26B0"/>
    <w:rsid w:val="000F2154"/>
    <w:rsid w:val="00112D46"/>
    <w:rsid w:val="001170F1"/>
    <w:rsid w:val="00142B5B"/>
    <w:rsid w:val="00145847"/>
    <w:rsid w:val="0016212A"/>
    <w:rsid w:val="00170C93"/>
    <w:rsid w:val="00176E4D"/>
    <w:rsid w:val="001916A7"/>
    <w:rsid w:val="00191BA0"/>
    <w:rsid w:val="001C306F"/>
    <w:rsid w:val="001D5816"/>
    <w:rsid w:val="001E4129"/>
    <w:rsid w:val="001E7179"/>
    <w:rsid w:val="001F1D2F"/>
    <w:rsid w:val="001F692A"/>
    <w:rsid w:val="002418F9"/>
    <w:rsid w:val="00255FBC"/>
    <w:rsid w:val="002649D1"/>
    <w:rsid w:val="002A35A9"/>
    <w:rsid w:val="002A5BA8"/>
    <w:rsid w:val="002B6628"/>
    <w:rsid w:val="002C5F85"/>
    <w:rsid w:val="002D79B3"/>
    <w:rsid w:val="00304099"/>
    <w:rsid w:val="00305CEF"/>
    <w:rsid w:val="00324803"/>
    <w:rsid w:val="0032592F"/>
    <w:rsid w:val="0035307F"/>
    <w:rsid w:val="003562E9"/>
    <w:rsid w:val="00373F0E"/>
    <w:rsid w:val="00375EDD"/>
    <w:rsid w:val="003B0D67"/>
    <w:rsid w:val="003B4BAC"/>
    <w:rsid w:val="003C38DC"/>
    <w:rsid w:val="003C734C"/>
    <w:rsid w:val="003C7F48"/>
    <w:rsid w:val="00411BDF"/>
    <w:rsid w:val="00414AFA"/>
    <w:rsid w:val="00432A91"/>
    <w:rsid w:val="004458BF"/>
    <w:rsid w:val="004904DF"/>
    <w:rsid w:val="00494D57"/>
    <w:rsid w:val="004A08B1"/>
    <w:rsid w:val="004B1F15"/>
    <w:rsid w:val="004B533A"/>
    <w:rsid w:val="004E538A"/>
    <w:rsid w:val="00504B90"/>
    <w:rsid w:val="00510676"/>
    <w:rsid w:val="00512676"/>
    <w:rsid w:val="005212F1"/>
    <w:rsid w:val="00527224"/>
    <w:rsid w:val="00531A23"/>
    <w:rsid w:val="00537371"/>
    <w:rsid w:val="0055074A"/>
    <w:rsid w:val="00563148"/>
    <w:rsid w:val="00566E6E"/>
    <w:rsid w:val="00584B65"/>
    <w:rsid w:val="00587D93"/>
    <w:rsid w:val="005924E0"/>
    <w:rsid w:val="00595B77"/>
    <w:rsid w:val="005A273D"/>
    <w:rsid w:val="005B5AE4"/>
    <w:rsid w:val="005C3855"/>
    <w:rsid w:val="005D0833"/>
    <w:rsid w:val="005D0DFB"/>
    <w:rsid w:val="005D1979"/>
    <w:rsid w:val="00621DF9"/>
    <w:rsid w:val="0062598D"/>
    <w:rsid w:val="006526A7"/>
    <w:rsid w:val="006647CD"/>
    <w:rsid w:val="00665CC2"/>
    <w:rsid w:val="006869B0"/>
    <w:rsid w:val="006A44DA"/>
    <w:rsid w:val="006B0504"/>
    <w:rsid w:val="00705166"/>
    <w:rsid w:val="007300DB"/>
    <w:rsid w:val="00730C62"/>
    <w:rsid w:val="007377B2"/>
    <w:rsid w:val="0078402E"/>
    <w:rsid w:val="007919CF"/>
    <w:rsid w:val="007A4B2D"/>
    <w:rsid w:val="007A4DA3"/>
    <w:rsid w:val="007B5872"/>
    <w:rsid w:val="0083473C"/>
    <w:rsid w:val="0084470D"/>
    <w:rsid w:val="008561E4"/>
    <w:rsid w:val="0086168E"/>
    <w:rsid w:val="008733D3"/>
    <w:rsid w:val="0088766F"/>
    <w:rsid w:val="00895E5F"/>
    <w:rsid w:val="008C01C7"/>
    <w:rsid w:val="008C67DE"/>
    <w:rsid w:val="008D2068"/>
    <w:rsid w:val="009003EA"/>
    <w:rsid w:val="0095192D"/>
    <w:rsid w:val="00953CD1"/>
    <w:rsid w:val="00956108"/>
    <w:rsid w:val="009659E2"/>
    <w:rsid w:val="00975FC6"/>
    <w:rsid w:val="00981812"/>
    <w:rsid w:val="00986110"/>
    <w:rsid w:val="009D4986"/>
    <w:rsid w:val="009F3DD1"/>
    <w:rsid w:val="009F5E6F"/>
    <w:rsid w:val="00A36151"/>
    <w:rsid w:val="00A5313E"/>
    <w:rsid w:val="00A57446"/>
    <w:rsid w:val="00A613DA"/>
    <w:rsid w:val="00A70EC6"/>
    <w:rsid w:val="00A80743"/>
    <w:rsid w:val="00AA2429"/>
    <w:rsid w:val="00AB0D6E"/>
    <w:rsid w:val="00AE2D9B"/>
    <w:rsid w:val="00B10EF1"/>
    <w:rsid w:val="00B141E5"/>
    <w:rsid w:val="00B53E8D"/>
    <w:rsid w:val="00B56AE0"/>
    <w:rsid w:val="00B61EF5"/>
    <w:rsid w:val="00B63598"/>
    <w:rsid w:val="00B655FB"/>
    <w:rsid w:val="00B741B8"/>
    <w:rsid w:val="00B930D2"/>
    <w:rsid w:val="00BD1C28"/>
    <w:rsid w:val="00C17755"/>
    <w:rsid w:val="00C34681"/>
    <w:rsid w:val="00C712F5"/>
    <w:rsid w:val="00C72D82"/>
    <w:rsid w:val="00C80D4D"/>
    <w:rsid w:val="00C8557B"/>
    <w:rsid w:val="00C92A17"/>
    <w:rsid w:val="00CB3DF6"/>
    <w:rsid w:val="00CE19D4"/>
    <w:rsid w:val="00D01B5D"/>
    <w:rsid w:val="00D26C3A"/>
    <w:rsid w:val="00D32469"/>
    <w:rsid w:val="00D51FED"/>
    <w:rsid w:val="00D73025"/>
    <w:rsid w:val="00D76BEC"/>
    <w:rsid w:val="00D81D29"/>
    <w:rsid w:val="00D97BFE"/>
    <w:rsid w:val="00DC1675"/>
    <w:rsid w:val="00DC3756"/>
    <w:rsid w:val="00DD2FD2"/>
    <w:rsid w:val="00DE4FEB"/>
    <w:rsid w:val="00E16C72"/>
    <w:rsid w:val="00E1753A"/>
    <w:rsid w:val="00E4025D"/>
    <w:rsid w:val="00E43721"/>
    <w:rsid w:val="00E75FBC"/>
    <w:rsid w:val="00E81CBF"/>
    <w:rsid w:val="00E87E08"/>
    <w:rsid w:val="00EA77F2"/>
    <w:rsid w:val="00EE1FE8"/>
    <w:rsid w:val="00EF55C9"/>
    <w:rsid w:val="00F03ACB"/>
    <w:rsid w:val="00F0581F"/>
    <w:rsid w:val="00F134BB"/>
    <w:rsid w:val="00F33AF9"/>
    <w:rsid w:val="00F40D7D"/>
    <w:rsid w:val="00F67591"/>
    <w:rsid w:val="00F85E62"/>
    <w:rsid w:val="00F87E47"/>
    <w:rsid w:val="00F95BBF"/>
    <w:rsid w:val="00FC064E"/>
    <w:rsid w:val="00FC7673"/>
    <w:rsid w:val="00FE4DD8"/>
    <w:rsid w:val="00FE771C"/>
    <w:rsid w:val="00FF102C"/>
    <w:rsid w:val="24F0E6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17F2E13"/>
  <w15:chartTrackingRefBased/>
  <w15:docId w15:val="{766A7CCF-711E-4D8D-8C3F-0789358B9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225B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225B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225B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225B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225B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225B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225B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225B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225B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25B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225B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225B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225B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225B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225B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225B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225B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225BD"/>
    <w:rPr>
      <w:rFonts w:eastAsiaTheme="majorEastAsia" w:cstheme="majorBidi"/>
      <w:color w:val="272727" w:themeColor="text1" w:themeTint="D8"/>
    </w:rPr>
  </w:style>
  <w:style w:type="paragraph" w:styleId="Title">
    <w:name w:val="Title"/>
    <w:basedOn w:val="Normal"/>
    <w:next w:val="Normal"/>
    <w:link w:val="TitleChar"/>
    <w:uiPriority w:val="10"/>
    <w:qFormat/>
    <w:rsid w:val="000225B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225B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225B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225B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225BD"/>
    <w:pPr>
      <w:spacing w:before="160"/>
      <w:jc w:val="center"/>
    </w:pPr>
    <w:rPr>
      <w:i/>
      <w:iCs/>
      <w:color w:val="404040" w:themeColor="text1" w:themeTint="BF"/>
    </w:rPr>
  </w:style>
  <w:style w:type="character" w:customStyle="1" w:styleId="QuoteChar">
    <w:name w:val="Quote Char"/>
    <w:basedOn w:val="DefaultParagraphFont"/>
    <w:link w:val="Quote"/>
    <w:uiPriority w:val="29"/>
    <w:rsid w:val="000225BD"/>
    <w:rPr>
      <w:i/>
      <w:iCs/>
      <w:color w:val="404040" w:themeColor="text1" w:themeTint="BF"/>
    </w:rPr>
  </w:style>
  <w:style w:type="paragraph" w:styleId="ListParagraph">
    <w:name w:val="List Paragraph"/>
    <w:basedOn w:val="Normal"/>
    <w:uiPriority w:val="34"/>
    <w:qFormat/>
    <w:rsid w:val="000225BD"/>
    <w:pPr>
      <w:ind w:left="720"/>
      <w:contextualSpacing/>
    </w:pPr>
  </w:style>
  <w:style w:type="character" w:styleId="IntenseEmphasis">
    <w:name w:val="Intense Emphasis"/>
    <w:basedOn w:val="DefaultParagraphFont"/>
    <w:uiPriority w:val="21"/>
    <w:qFormat/>
    <w:rsid w:val="000225BD"/>
    <w:rPr>
      <w:i/>
      <w:iCs/>
      <w:color w:val="0F4761" w:themeColor="accent1" w:themeShade="BF"/>
    </w:rPr>
  </w:style>
  <w:style w:type="paragraph" w:styleId="IntenseQuote">
    <w:name w:val="Intense Quote"/>
    <w:basedOn w:val="Normal"/>
    <w:next w:val="Normal"/>
    <w:link w:val="IntenseQuoteChar"/>
    <w:uiPriority w:val="30"/>
    <w:qFormat/>
    <w:rsid w:val="000225B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225BD"/>
    <w:rPr>
      <w:i/>
      <w:iCs/>
      <w:color w:val="0F4761" w:themeColor="accent1" w:themeShade="BF"/>
    </w:rPr>
  </w:style>
  <w:style w:type="character" w:styleId="IntenseReference">
    <w:name w:val="Intense Reference"/>
    <w:basedOn w:val="DefaultParagraphFont"/>
    <w:uiPriority w:val="32"/>
    <w:qFormat/>
    <w:rsid w:val="000225BD"/>
    <w:rPr>
      <w:b/>
      <w:bCs/>
      <w:smallCaps/>
      <w:color w:val="0F4761" w:themeColor="accent1" w:themeShade="BF"/>
      <w:spacing w:val="5"/>
    </w:rPr>
  </w:style>
  <w:style w:type="character" w:styleId="CommentReference">
    <w:name w:val="annotation reference"/>
    <w:basedOn w:val="DefaultParagraphFont"/>
    <w:uiPriority w:val="99"/>
    <w:semiHidden/>
    <w:unhideWhenUsed/>
    <w:rsid w:val="00112D46"/>
    <w:rPr>
      <w:sz w:val="16"/>
      <w:szCs w:val="16"/>
    </w:rPr>
  </w:style>
  <w:style w:type="paragraph" w:styleId="CommentText">
    <w:name w:val="annotation text"/>
    <w:basedOn w:val="Normal"/>
    <w:link w:val="CommentTextChar"/>
    <w:uiPriority w:val="99"/>
    <w:unhideWhenUsed/>
    <w:rsid w:val="00112D46"/>
    <w:pPr>
      <w:spacing w:line="240" w:lineRule="auto"/>
    </w:pPr>
    <w:rPr>
      <w:sz w:val="20"/>
      <w:szCs w:val="20"/>
    </w:rPr>
  </w:style>
  <w:style w:type="character" w:customStyle="1" w:styleId="CommentTextChar">
    <w:name w:val="Comment Text Char"/>
    <w:basedOn w:val="DefaultParagraphFont"/>
    <w:link w:val="CommentText"/>
    <w:uiPriority w:val="99"/>
    <w:rsid w:val="00112D46"/>
    <w:rPr>
      <w:sz w:val="20"/>
      <w:szCs w:val="20"/>
    </w:rPr>
  </w:style>
  <w:style w:type="paragraph" w:styleId="CommentSubject">
    <w:name w:val="annotation subject"/>
    <w:basedOn w:val="CommentText"/>
    <w:next w:val="CommentText"/>
    <w:link w:val="CommentSubjectChar"/>
    <w:uiPriority w:val="99"/>
    <w:semiHidden/>
    <w:unhideWhenUsed/>
    <w:rsid w:val="00112D46"/>
    <w:rPr>
      <w:b/>
      <w:bCs/>
    </w:rPr>
  </w:style>
  <w:style w:type="character" w:customStyle="1" w:styleId="CommentSubjectChar">
    <w:name w:val="Comment Subject Char"/>
    <w:basedOn w:val="CommentTextChar"/>
    <w:link w:val="CommentSubject"/>
    <w:uiPriority w:val="99"/>
    <w:semiHidden/>
    <w:rsid w:val="00112D46"/>
    <w:rPr>
      <w:b/>
      <w:bCs/>
      <w:sz w:val="20"/>
      <w:szCs w:val="20"/>
    </w:rPr>
  </w:style>
  <w:style w:type="paragraph" w:styleId="Revision">
    <w:name w:val="Revision"/>
    <w:hidden/>
    <w:uiPriority w:val="99"/>
    <w:semiHidden/>
    <w:rsid w:val="00986110"/>
    <w:pPr>
      <w:spacing w:after="0" w:line="240" w:lineRule="auto"/>
    </w:pPr>
  </w:style>
  <w:style w:type="character" w:styleId="Hyperlink">
    <w:name w:val="Hyperlink"/>
    <w:basedOn w:val="DefaultParagraphFont"/>
    <w:uiPriority w:val="99"/>
    <w:unhideWhenUsed/>
    <w:rsid w:val="00033D14"/>
    <w:rPr>
      <w:color w:val="467886" w:themeColor="hyperlink"/>
      <w:u w:val="single"/>
    </w:rPr>
  </w:style>
  <w:style w:type="character" w:styleId="UnresolvedMention">
    <w:name w:val="Unresolved Mention"/>
    <w:basedOn w:val="DefaultParagraphFont"/>
    <w:uiPriority w:val="99"/>
    <w:semiHidden/>
    <w:unhideWhenUsed/>
    <w:rsid w:val="00033D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1187259">
      <w:bodyDiv w:val="1"/>
      <w:marLeft w:val="0"/>
      <w:marRight w:val="0"/>
      <w:marTop w:val="0"/>
      <w:marBottom w:val="0"/>
      <w:divBdr>
        <w:top w:val="none" w:sz="0" w:space="0" w:color="auto"/>
        <w:left w:val="none" w:sz="0" w:space="0" w:color="auto"/>
        <w:bottom w:val="none" w:sz="0" w:space="0" w:color="auto"/>
        <w:right w:val="none" w:sz="0" w:space="0" w:color="auto"/>
      </w:divBdr>
      <w:divsChild>
        <w:div w:id="626088844">
          <w:marLeft w:val="0"/>
          <w:marRight w:val="0"/>
          <w:marTop w:val="0"/>
          <w:marBottom w:val="0"/>
          <w:divBdr>
            <w:top w:val="single" w:sz="2" w:space="0" w:color="auto"/>
            <w:left w:val="single" w:sz="2" w:space="0" w:color="auto"/>
            <w:bottom w:val="single" w:sz="2" w:space="0" w:color="auto"/>
            <w:right w:val="single" w:sz="2" w:space="0" w:color="auto"/>
          </w:divBdr>
          <w:divsChild>
            <w:div w:id="279845407">
              <w:marLeft w:val="0"/>
              <w:marRight w:val="0"/>
              <w:marTop w:val="0"/>
              <w:marBottom w:val="0"/>
              <w:divBdr>
                <w:top w:val="single" w:sz="2" w:space="0" w:color="auto"/>
                <w:left w:val="single" w:sz="2" w:space="0" w:color="auto"/>
                <w:bottom w:val="single" w:sz="2" w:space="0" w:color="auto"/>
                <w:right w:val="single" w:sz="2" w:space="0" w:color="auto"/>
              </w:divBdr>
              <w:divsChild>
                <w:div w:id="1079407761">
                  <w:marLeft w:val="0"/>
                  <w:marRight w:val="0"/>
                  <w:marTop w:val="0"/>
                  <w:marBottom w:val="0"/>
                  <w:divBdr>
                    <w:top w:val="single" w:sz="2" w:space="0" w:color="auto"/>
                    <w:left w:val="single" w:sz="2" w:space="0" w:color="auto"/>
                    <w:bottom w:val="single" w:sz="2" w:space="0" w:color="auto"/>
                    <w:right w:val="single" w:sz="2" w:space="0" w:color="auto"/>
                  </w:divBdr>
                  <w:divsChild>
                    <w:div w:id="270211099">
                      <w:marLeft w:val="0"/>
                      <w:marRight w:val="0"/>
                      <w:marTop w:val="0"/>
                      <w:marBottom w:val="0"/>
                      <w:divBdr>
                        <w:top w:val="single" w:sz="2" w:space="0" w:color="auto"/>
                        <w:left w:val="single" w:sz="2" w:space="0" w:color="auto"/>
                        <w:bottom w:val="single" w:sz="2" w:space="0" w:color="auto"/>
                        <w:right w:val="single" w:sz="2" w:space="0" w:color="auto"/>
                      </w:divBdr>
                      <w:divsChild>
                        <w:div w:id="946814287">
                          <w:marLeft w:val="0"/>
                          <w:marRight w:val="0"/>
                          <w:marTop w:val="0"/>
                          <w:marBottom w:val="0"/>
                          <w:divBdr>
                            <w:top w:val="single" w:sz="2" w:space="0" w:color="auto"/>
                            <w:left w:val="single" w:sz="2" w:space="0" w:color="auto"/>
                            <w:bottom w:val="single" w:sz="2" w:space="0" w:color="auto"/>
                            <w:right w:val="single" w:sz="2" w:space="0" w:color="auto"/>
                          </w:divBdr>
                          <w:divsChild>
                            <w:div w:id="2101369503">
                              <w:marLeft w:val="0"/>
                              <w:marRight w:val="0"/>
                              <w:marTop w:val="0"/>
                              <w:marBottom w:val="0"/>
                              <w:divBdr>
                                <w:top w:val="single" w:sz="2" w:space="0" w:color="auto"/>
                                <w:left w:val="single" w:sz="2" w:space="0" w:color="auto"/>
                                <w:bottom w:val="single" w:sz="2" w:space="0" w:color="auto"/>
                                <w:right w:val="single" w:sz="2" w:space="0" w:color="auto"/>
                              </w:divBdr>
                              <w:divsChild>
                                <w:div w:id="53890561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c96a8a38-5593-4a1d-8402-439dcdce8397" ContentTypeId="0x010100B13D068D733B5B429BBCF59D6C60FE2D" PreviousValue="false"/>
</file>

<file path=customXml/item3.xml><?xml version="1.0" encoding="utf-8"?>
<ct:contentTypeSchema xmlns:ct="http://schemas.microsoft.com/office/2006/metadata/contentType" xmlns:ma="http://schemas.microsoft.com/office/2006/metadata/properties/metaAttributes" ct:_="" ma:_="" ma:contentTypeName="TLS Content Type" ma:contentTypeID="0x010100B13D068D733B5B429BBCF59D6C60FE2D00CB051F4F25856946937DDC6C9CE34427" ma:contentTypeVersion="137" ma:contentTypeDescription="Use this content type to categorise information using the TLS taxonomy." ma:contentTypeScope="" ma:versionID="0f39c867ebbb71249979b5dd8533d3ae">
  <xsd:schema xmlns:xsd="http://www.w3.org/2001/XMLSchema" xmlns:xs="http://www.w3.org/2001/XMLSchema" xmlns:p="http://schemas.microsoft.com/office/2006/metadata/properties" xmlns:ns2="c23d2192-f5b5-4a13-9a30-e0d79702362d" targetNamespace="http://schemas.microsoft.com/office/2006/metadata/properties" ma:root="true" ma:fieldsID="2bbc2df7d66034713427752ebb0bc044" ns2:_="">
    <xsd:import namespace="c23d2192-f5b5-4a13-9a30-e0d79702362d"/>
    <xsd:element name="properties">
      <xsd:complexType>
        <xsd:sequence>
          <xsd:element name="documentManagement">
            <xsd:complexType>
              <xsd:all>
                <xsd:element ref="ns2:e70b8404ee314c5c9935de9b90c4dab9" minOccurs="0"/>
                <xsd:element ref="ns2:oc8bc204536e4c44afb14be34eb7b607" minOccurs="0"/>
                <xsd:element ref="ns2:TaxCatchAll" minOccurs="0"/>
                <xsd:element ref="ns2:TaxCatchAllLabel" minOccurs="0"/>
                <xsd:element ref="ns2:o78b1d2a178d4a3cbe4f7fa3254d68da" minOccurs="0"/>
                <xsd:element ref="ns2:c3f5b217e01c4ffdbac5137de6c0f113" minOccurs="0"/>
                <xsd:element ref="ns2:aca77e1b737b4c7ba3a234beb437bc8f" minOccurs="0"/>
                <xsd:element ref="ns2:h5171c5b46ee4a5389e7dcf05579601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3d2192-f5b5-4a13-9a30-e0d79702362d" elementFormDefault="qualified">
    <xsd:import namespace="http://schemas.microsoft.com/office/2006/documentManagement/types"/>
    <xsd:import namespace="http://schemas.microsoft.com/office/infopath/2007/PartnerControls"/>
    <xsd:element name="e70b8404ee314c5c9935de9b90c4dab9" ma:index="8" nillable="true" ma:taxonomy="true" ma:internalName="e70b8404ee314c5c9935de9b90c4dab9" ma:taxonomyFieldName="Themes" ma:displayName="Themes" ma:default="" ma:fieldId="{e70b8404-ee31-4c5c-9935-de9b90c4dab9}" ma:taxonomyMulti="true" ma:sspId="c96a8a38-5593-4a1d-8402-439dcdce8397" ma:termSetId="54e5c86f-87f1-43f2-9576-f39f924419f5" ma:anchorId="00000000-0000-0000-0000-000000000000" ma:open="false" ma:isKeyword="false">
      <xsd:complexType>
        <xsd:sequence>
          <xsd:element ref="pc:Terms" minOccurs="0" maxOccurs="1"/>
        </xsd:sequence>
      </xsd:complexType>
    </xsd:element>
    <xsd:element name="oc8bc204536e4c44afb14be34eb7b607" ma:index="10" nillable="true" ma:taxonomy="true" ma:internalName="oc8bc204536e4c44afb14be34eb7b607" ma:taxonomyFieldName="Areas_x0020_of_x0020_Law" ma:displayName="Areas of Law and Legislation" ma:default="" ma:fieldId="{8c8bc204-536e-4c44-afb1-4be34eb7b607}" ma:taxonomyMulti="true" ma:sspId="c96a8a38-5593-4a1d-8402-439dcdce8397" ma:termSetId="8a0b9d78-d9cf-4032-9265-76c0e0ce7b8b"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1e6bf7cb-c4ff-40a7-9651-29e0a26656f0}" ma:internalName="TaxCatchAll" ma:showField="CatchAllData" ma:web="29b990b0-4da3-43ca-af23-fb56ff8b8f58">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1e6bf7cb-c4ff-40a7-9651-29e0a26656f0}" ma:internalName="TaxCatchAllLabel" ma:readOnly="true" ma:showField="CatchAllDataLabel" ma:web="29b990b0-4da3-43ca-af23-fb56ff8b8f58">
      <xsd:complexType>
        <xsd:complexContent>
          <xsd:extension base="dms:MultiChoiceLookup">
            <xsd:sequence>
              <xsd:element name="Value" type="dms:Lookup" maxOccurs="unbounded" minOccurs="0" nillable="true"/>
            </xsd:sequence>
          </xsd:extension>
        </xsd:complexContent>
      </xsd:complexType>
    </xsd:element>
    <xsd:element name="o78b1d2a178d4a3cbe4f7fa3254d68da" ma:index="14" nillable="true" ma:taxonomy="true" ma:internalName="o78b1d2a178d4a3cbe4f7fa3254d68da" ma:taxonomyFieldName="Geographic_x0020_terms" ma:displayName="Geographic terms" ma:default="" ma:fieldId="{878b1d2a-178d-4a3c-be4f-7fa3254d68da}" ma:taxonomyMulti="true" ma:sspId="c96a8a38-5593-4a1d-8402-439dcdce8397" ma:termSetId="a4b72e8c-6564-4631-bdbb-f93d7ad9599b" ma:anchorId="00000000-0000-0000-0000-000000000000" ma:open="false" ma:isKeyword="false">
      <xsd:complexType>
        <xsd:sequence>
          <xsd:element ref="pc:Terms" minOccurs="0" maxOccurs="1"/>
        </xsd:sequence>
      </xsd:complexType>
    </xsd:element>
    <xsd:element name="c3f5b217e01c4ffdbac5137de6c0f113" ma:index="16" nillable="true" ma:taxonomy="true" ma:internalName="c3f5b217e01c4ffdbac5137de6c0f113" ma:taxonomyFieldName="General_x0020_terms" ma:displayName="General terms" ma:default="" ma:fieldId="{c3f5b217-e01c-4ffd-bac5-137de6c0f113}" ma:taxonomyMulti="true" ma:sspId="c96a8a38-5593-4a1d-8402-439dcdce8397" ma:termSetId="266d9db2-747a-457e-bde9-5a0ba89a2412" ma:anchorId="00000000-0000-0000-0000-000000000000" ma:open="false" ma:isKeyword="false">
      <xsd:complexType>
        <xsd:sequence>
          <xsd:element ref="pc:Terms" minOccurs="0" maxOccurs="1"/>
        </xsd:sequence>
      </xsd:complexType>
    </xsd:element>
    <xsd:element name="aca77e1b737b4c7ba3a234beb437bc8f" ma:index="18" nillable="true" ma:taxonomy="true" ma:internalName="aca77e1b737b4c7ba3a234beb437bc8f" ma:taxonomyFieldName="RolesCommunitiesProducts" ma:displayName="Roles, communities and products" ma:default="" ma:fieldId="{aca77e1b-737b-4c7b-a3a2-34beb437bc8f}" ma:taxonomyMulti="true" ma:sspId="c96a8a38-5593-4a1d-8402-439dcdce8397" ma:termSetId="cb248f7d-5cd9-4f71-a87d-983d3510b134" ma:anchorId="00000000-0000-0000-0000-000000000000" ma:open="false" ma:isKeyword="false">
      <xsd:complexType>
        <xsd:sequence>
          <xsd:element ref="pc:Terms" minOccurs="0" maxOccurs="1"/>
        </xsd:sequence>
      </xsd:complexType>
    </xsd:element>
    <xsd:element name="h5171c5b46ee4a5389e7dcf055796012" ma:index="20" nillable="true" ma:taxonomy="true" ma:internalName="h5171c5b46ee4a5389e7dcf055796012" ma:taxonomyFieldName="OrganisationsStakeholders" ma:displayName="Organisations and stakeholders" ma:default="" ma:fieldId="{15171c5b-46ee-4a53-89e7-dcf055796012}" ma:taxonomyMulti="true" ma:sspId="c96a8a38-5593-4a1d-8402-439dcdce8397" ma:termSetId="c0526cfb-4f8c-407e-9742-a0831bc4ed8a"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e70b8404ee314c5c9935de9b90c4dab9 xmlns="c23d2192-f5b5-4a13-9a30-e0d79702362d">
      <Terms xmlns="http://schemas.microsoft.com/office/infopath/2007/PartnerControls"/>
    </e70b8404ee314c5c9935de9b90c4dab9>
    <oc8bc204536e4c44afb14be34eb7b607 xmlns="c23d2192-f5b5-4a13-9a30-e0d79702362d">
      <Terms xmlns="http://schemas.microsoft.com/office/infopath/2007/PartnerControls"/>
    </oc8bc204536e4c44afb14be34eb7b607>
    <aca77e1b737b4c7ba3a234beb437bc8f xmlns="c23d2192-f5b5-4a13-9a30-e0d79702362d">
      <Terms xmlns="http://schemas.microsoft.com/office/infopath/2007/PartnerControls"/>
    </aca77e1b737b4c7ba3a234beb437bc8f>
    <TaxCatchAll xmlns="c23d2192-f5b5-4a13-9a30-e0d79702362d" xsi:nil="true"/>
    <o78b1d2a178d4a3cbe4f7fa3254d68da xmlns="c23d2192-f5b5-4a13-9a30-e0d79702362d">
      <Terms xmlns="http://schemas.microsoft.com/office/infopath/2007/PartnerControls"/>
    </o78b1d2a178d4a3cbe4f7fa3254d68da>
    <c3f5b217e01c4ffdbac5137de6c0f113 xmlns="c23d2192-f5b5-4a13-9a30-e0d79702362d">
      <Terms xmlns="http://schemas.microsoft.com/office/infopath/2007/PartnerControls"/>
    </c3f5b217e01c4ffdbac5137de6c0f113>
    <h5171c5b46ee4a5389e7dcf055796012 xmlns="c23d2192-f5b5-4a13-9a30-e0d79702362d">
      <Terms xmlns="http://schemas.microsoft.com/office/infopath/2007/PartnerControls"/>
    </h5171c5b46ee4a5389e7dcf055796012>
  </documentManagement>
</p:properties>
</file>

<file path=customXml/itemProps1.xml><?xml version="1.0" encoding="utf-8"?>
<ds:datastoreItem xmlns:ds="http://schemas.openxmlformats.org/officeDocument/2006/customXml" ds:itemID="{408B4F57-0356-40A5-AED6-8C84DA345B84}">
  <ds:schemaRefs>
    <ds:schemaRef ds:uri="http://schemas.microsoft.com/sharepoint/v3/contenttype/forms"/>
  </ds:schemaRefs>
</ds:datastoreItem>
</file>

<file path=customXml/itemProps2.xml><?xml version="1.0" encoding="utf-8"?>
<ds:datastoreItem xmlns:ds="http://schemas.openxmlformats.org/officeDocument/2006/customXml" ds:itemID="{BEC79E83-BACD-4F8E-816A-B1D66292017B}">
  <ds:schemaRefs>
    <ds:schemaRef ds:uri="Microsoft.SharePoint.Taxonomy.ContentTypeSync"/>
  </ds:schemaRefs>
</ds:datastoreItem>
</file>

<file path=customXml/itemProps3.xml><?xml version="1.0" encoding="utf-8"?>
<ds:datastoreItem xmlns:ds="http://schemas.openxmlformats.org/officeDocument/2006/customXml" ds:itemID="{2FB64F0C-ACC9-4E3C-A25D-B5A51D5667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3d2192-f5b5-4a13-9a30-e0d7970236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A4AA89B-9C73-4533-9A70-7BFA48FA9D26}">
  <ds:schemaRefs>
    <ds:schemaRef ds:uri="http://schemas.microsoft.com/office/2006/metadata/properties"/>
    <ds:schemaRef ds:uri="http://schemas.microsoft.com/office/infopath/2007/PartnerControls"/>
    <ds:schemaRef ds:uri="c23d2192-f5b5-4a13-9a30-e0d79702362d"/>
  </ds:schemaRefs>
</ds:datastoreItem>
</file>

<file path=docMetadata/LabelInfo.xml><?xml version="1.0" encoding="utf-8"?>
<clbl:labelList xmlns:clbl="http://schemas.microsoft.com/office/2020/mipLabelMetadata">
  <clbl:label id="{f5e9a85d-4ce1-4e47-aa2e-eb685858a3fc}" enabled="1" method="Standard" siteId="{2d4ecdb2-42d1-4250-b794-2caf523719ad}" contentBits="0"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3</Pages>
  <Words>951</Words>
  <Characters>5424</Characters>
  <Application>Microsoft Office Word</Application>
  <DocSecurity>0</DocSecurity>
  <Lines>45</Lines>
  <Paragraphs>12</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Beril Onder</dc:creator>
  <cp:keywords/>
  <dc:description/>
  <cp:lastModifiedBy>Ceren Uysal</cp:lastModifiedBy>
  <cp:revision>2</cp:revision>
  <dcterms:created xsi:type="dcterms:W3CDTF">2025-09-08T14:18:00Z</dcterms:created>
  <dcterms:modified xsi:type="dcterms:W3CDTF">2025-09-08T14:18:00Z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5f6fb031-5974-4e40-83f7-9b5f98339b9c</vt:lpwstr>
  </property>
  <property fmtid="{D5CDD505-2E9C-101B-9397-08002B2CF9AE}" pid="3" name="ContentTypeId">
    <vt:lpwstr>0x010100B13D068D733B5B429BBCF59D6C60FE2D00CB051F4F25856946937DDC6C9CE34427</vt:lpwstr>
  </property>
  <property fmtid="{D5CDD505-2E9C-101B-9397-08002B2CF9AE}" pid="4" name="TaxKeyword">
    <vt:lpwstr/>
  </property>
  <property fmtid="{D5CDD505-2E9C-101B-9397-08002B2CF9AE}" pid="5" name="TaxKeywordTaxHTField">
    <vt:lpwstr/>
  </property>
  <property fmtid="{D5CDD505-2E9C-101B-9397-08002B2CF9AE}" pid="6" name="RolesCommunitiesProducts">
    <vt:lpwstr/>
  </property>
  <property fmtid="{D5CDD505-2E9C-101B-9397-08002B2CF9AE}" pid="7" name="MediaServiceImageTags">
    <vt:lpwstr/>
  </property>
  <property fmtid="{D5CDD505-2E9C-101B-9397-08002B2CF9AE}" pid="8" name="b856e18e1a3a4b98b2591de4bd3c43c5">
    <vt:lpwstr/>
  </property>
  <property fmtid="{D5CDD505-2E9C-101B-9397-08002B2CF9AE}" pid="9" name="TLS_x0020_Org_x0020_Structure">
    <vt:lpwstr/>
  </property>
  <property fmtid="{D5CDD505-2E9C-101B-9397-08002B2CF9AE}" pid="10" name="h08c050cf57c45e9a2587f5512470cb7">
    <vt:lpwstr/>
  </property>
  <property fmtid="{D5CDD505-2E9C-101B-9397-08002B2CF9AE}" pid="11" name="TLS_x0020_Taxonomy">
    <vt:lpwstr/>
  </property>
  <property fmtid="{D5CDD505-2E9C-101B-9397-08002B2CF9AE}" pid="12" name="General_x0020_terms">
    <vt:lpwstr/>
  </property>
  <property fmtid="{D5CDD505-2E9C-101B-9397-08002B2CF9AE}" pid="13" name="o21029a1901941c6a6ad6fd524516fdc">
    <vt:lpwstr/>
  </property>
  <property fmtid="{D5CDD505-2E9C-101B-9397-08002B2CF9AE}" pid="14" name="TLS_x0020_Document_x0020_Category">
    <vt:lpwstr/>
  </property>
  <property fmtid="{D5CDD505-2E9C-101B-9397-08002B2CF9AE}" pid="15" name="d2290f9241184778a99825fb7cbfb009">
    <vt:lpwstr/>
  </property>
  <property fmtid="{D5CDD505-2E9C-101B-9397-08002B2CF9AE}" pid="16" name="Organisations_x0020__x0026__x0020_Stakeholders">
    <vt:lpwstr/>
  </property>
  <property fmtid="{D5CDD505-2E9C-101B-9397-08002B2CF9AE}" pid="17" name="Geographic_x0020_terms">
    <vt:lpwstr/>
  </property>
  <property fmtid="{D5CDD505-2E9C-101B-9397-08002B2CF9AE}" pid="18" name="OrganisationsStakeholders">
    <vt:lpwstr/>
  </property>
  <property fmtid="{D5CDD505-2E9C-101B-9397-08002B2CF9AE}" pid="19" name="Roles_x002C__x0020_Communities_x0020_and_x0020_Products">
    <vt:lpwstr/>
  </property>
  <property fmtid="{D5CDD505-2E9C-101B-9397-08002B2CF9AE}" pid="20" name="Themes">
    <vt:lpwstr/>
  </property>
  <property fmtid="{D5CDD505-2E9C-101B-9397-08002B2CF9AE}" pid="21" name="lcf76f155ced4ddcb4097134ff3c332f">
    <vt:lpwstr/>
  </property>
  <property fmtid="{D5CDD505-2E9C-101B-9397-08002B2CF9AE}" pid="22" name="Areas_x0020_of_x0020_Law">
    <vt:lpwstr/>
  </property>
  <property fmtid="{D5CDD505-2E9C-101B-9397-08002B2CF9AE}" pid="23" name="gf60c2ae95f94fb2b71e8bfbfe015e3f">
    <vt:lpwstr/>
  </property>
  <property fmtid="{D5CDD505-2E9C-101B-9397-08002B2CF9AE}" pid="24" name="Areas of Law">
    <vt:lpwstr/>
  </property>
  <property fmtid="{D5CDD505-2E9C-101B-9397-08002B2CF9AE}" pid="25" name="TLS Taxonomy">
    <vt:lpwstr/>
  </property>
  <property fmtid="{D5CDD505-2E9C-101B-9397-08002B2CF9AE}" pid="26" name="Geographic terms">
    <vt:lpwstr/>
  </property>
  <property fmtid="{D5CDD505-2E9C-101B-9397-08002B2CF9AE}" pid="27" name="Organisations &amp; Stakeholders">
    <vt:lpwstr/>
  </property>
  <property fmtid="{D5CDD505-2E9C-101B-9397-08002B2CF9AE}" pid="28" name="TLS Document Category">
    <vt:lpwstr/>
  </property>
  <property fmtid="{D5CDD505-2E9C-101B-9397-08002B2CF9AE}" pid="29" name="TLS Org Structure">
    <vt:lpwstr/>
  </property>
  <property fmtid="{D5CDD505-2E9C-101B-9397-08002B2CF9AE}" pid="30" name="General terms">
    <vt:lpwstr/>
  </property>
  <property fmtid="{D5CDD505-2E9C-101B-9397-08002B2CF9AE}" pid="31" name="Roles, Communities and Products">
    <vt:lpwstr/>
  </property>
</Properties>
</file>